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Gestione portali del MIUR, Edilizia Scolastica Regionale (ARES 2.0), Futura, PCP, SIMOG, BDAP-MOP, REGIS, FENIX, Fondazione CR Firenze, Impiantistica Sportiva della Regione Toscana, TBEL</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Gestione portali del MIUR, Edilizia Scolastica Regionale (ARES 2.0), Futura, PCP, SIMOG, BDAP-MOP, REGIS, FENIX, Fondazione CR Firenze, Impiantistica Sportiva della Regione Toscana, TBEL.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4556</Words>
  <Characters>27492</Characters>
  <CharactersWithSpaces>31976</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2025-07-24T14:43:22Z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