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Procedura negoziata senza bando per l'affidamento di servizi e forniture, ivi compresi i servizi di ingegneria e architettura e l'attivita' di progettazione, di importo pari o superiore a 140.000 euro e fino alle soglie di cui all'articolo 14</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Procedura negoziata senza bando per l'affidamento di servizi e forniture, ivi compresi i servizi di ingegneria e architettura e l'attivita' di progettazione, di importo pari o superiore a 140.000 euro e fino alle soglie di cui all'articolo 14.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4584</Words>
  <Characters>27576</Characters>
  <CharactersWithSpaces>32088</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2025-07-24T14:44:58Z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